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667" w:rsidRDefault="00F94667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  <w:bookmarkStart w:id="0" w:name="_GoBack"/>
      <w:r w:rsidR="00857D67" w:rsidRPr="00857D67">
        <w:rPr>
          <w:sz w:val="24"/>
          <w:highlight w:val="yellow"/>
        </w:rPr>
        <w:t>ИНДЕКС ДЛЯ РЕЗЕРВОВ</w:t>
      </w:r>
      <w:bookmarkEnd w:id="0"/>
    </w:p>
    <w:p w:rsidR="00F94667" w:rsidRDefault="00F94667">
      <w:pPr>
        <w:pStyle w:val="ConsPlusNormal"/>
        <w:jc w:val="both"/>
        <w:outlineLvl w:val="0"/>
      </w:pPr>
    </w:p>
    <w:p w:rsidR="00F94667" w:rsidRDefault="00F94667">
      <w:pPr>
        <w:pStyle w:val="ConsPlusTitle"/>
        <w:jc w:val="center"/>
        <w:outlineLvl w:val="0"/>
      </w:pPr>
      <w:r>
        <w:t>МИНИСТЕРСТВО СТРОИТЕЛЬСТВА И ЖИЛИЩНО-КОММУНАЛЬНОГО</w:t>
      </w:r>
    </w:p>
    <w:p w:rsidR="00F94667" w:rsidRDefault="00F94667">
      <w:pPr>
        <w:pStyle w:val="ConsPlusTitle"/>
        <w:jc w:val="center"/>
      </w:pPr>
      <w:r>
        <w:t>ХОЗЯЙСТВА РОССИЙСКОЙ ФЕДЕРАЦИИ</w:t>
      </w:r>
    </w:p>
    <w:p w:rsidR="00F94667" w:rsidRDefault="00F94667">
      <w:pPr>
        <w:pStyle w:val="ConsPlusTitle"/>
        <w:jc w:val="center"/>
      </w:pPr>
    </w:p>
    <w:p w:rsidR="00F94667" w:rsidRDefault="00F94667">
      <w:pPr>
        <w:pStyle w:val="ConsPlusTitle"/>
        <w:jc w:val="center"/>
      </w:pPr>
      <w:r>
        <w:t>ПИСЬМО</w:t>
      </w:r>
    </w:p>
    <w:p w:rsidR="00F94667" w:rsidRDefault="00F94667">
      <w:pPr>
        <w:pStyle w:val="ConsPlusTitle"/>
        <w:jc w:val="center"/>
      </w:pPr>
      <w:r>
        <w:t>от 18 декабря 2020 г. N 51885-ИФ/09</w:t>
      </w: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ind w:firstLine="540"/>
        <w:jc w:val="both"/>
      </w:pPr>
      <w:proofErr w:type="gramStart"/>
      <w:r>
        <w:t xml:space="preserve">В рамках реализации полномочий Министерства строительства и жилищно-коммунального хозяйства Российской Федерации по выработке и реализации государственной политики и нормативно-правовому регулированию в сфере нормирования и ценообразования при проектировании и строительстве Минстрой России в дополнение к письмам от 2 ноября 2020 г. </w:t>
      </w:r>
      <w:hyperlink r:id="rId6" w:history="1">
        <w:r>
          <w:rPr>
            <w:color w:val="0000FF"/>
          </w:rPr>
          <w:t>N 44016-ИФ/09</w:t>
        </w:r>
      </w:hyperlink>
      <w:r>
        <w:t xml:space="preserve">, от 12 ноября 2020 г. </w:t>
      </w:r>
      <w:hyperlink r:id="rId7" w:history="1">
        <w:r>
          <w:rPr>
            <w:color w:val="0000FF"/>
          </w:rPr>
          <w:t>N 45484-ИФ/09</w:t>
        </w:r>
      </w:hyperlink>
      <w:r>
        <w:t xml:space="preserve">, от 23 ноября 2020 г. </w:t>
      </w:r>
      <w:hyperlink r:id="rId8" w:history="1">
        <w:r>
          <w:rPr>
            <w:color w:val="0000FF"/>
          </w:rPr>
          <w:t>N 47349-ИФ/09</w:t>
        </w:r>
      </w:hyperlink>
      <w:r>
        <w:t>, от</w:t>
      </w:r>
      <w:proofErr w:type="gramEnd"/>
      <w:r>
        <w:t xml:space="preserve"> </w:t>
      </w:r>
      <w:proofErr w:type="gramStart"/>
      <w:r>
        <w:t xml:space="preserve">4 декабря 2020 г. </w:t>
      </w:r>
      <w:hyperlink r:id="rId9" w:history="1">
        <w:r>
          <w:rPr>
            <w:color w:val="0000FF"/>
          </w:rPr>
          <w:t>N 49587-ИФ/09</w:t>
        </w:r>
      </w:hyperlink>
      <w:r>
        <w:t xml:space="preserve">, от 10 декабря 2020 г. </w:t>
      </w:r>
      <w:hyperlink r:id="rId10" w:history="1">
        <w:r>
          <w:rPr>
            <w:color w:val="0000FF"/>
          </w:rPr>
          <w:t>N 50446-ИФ/09</w:t>
        </w:r>
      </w:hyperlink>
      <w:r>
        <w:t xml:space="preserve"> (далее - Письма Минстроя России) сообщает о рекомендуемой величине </w:t>
      </w:r>
      <w:hyperlink w:anchor="P21" w:history="1">
        <w:r>
          <w:rPr>
            <w:color w:val="0000FF"/>
          </w:rPr>
          <w:t>индексов</w:t>
        </w:r>
      </w:hyperlink>
      <w:r>
        <w:t xml:space="preserve"> изменения сметной стоимости строительства в IV квартале 2020 года, в том числе величине индексов изменения сметной стоимости строительно-монтажных работ, индексов изменения сметной стоимости пусконаладочных работ (далее - Индексы).</w:t>
      </w:r>
      <w:proofErr w:type="gramEnd"/>
    </w:p>
    <w:p w:rsidR="00F94667" w:rsidRDefault="00F94667">
      <w:pPr>
        <w:pStyle w:val="ConsPlusNormal"/>
        <w:spacing w:before="220"/>
        <w:ind w:firstLine="540"/>
        <w:jc w:val="both"/>
      </w:pPr>
      <w:r>
        <w:t xml:space="preserve">Указанные </w:t>
      </w:r>
      <w:hyperlink w:anchor="P21" w:history="1">
        <w:r>
          <w:rPr>
            <w:color w:val="0000FF"/>
          </w:rPr>
          <w:t>Индексы</w:t>
        </w:r>
      </w:hyperlink>
      <w:r>
        <w:t xml:space="preserve"> разработаны к сметно-нормативной базе 2001 года в соответствии с положениями </w:t>
      </w:r>
      <w:hyperlink r:id="rId11" w:history="1">
        <w:r>
          <w:rPr>
            <w:color w:val="0000FF"/>
          </w:rPr>
          <w:t>Методики</w:t>
        </w:r>
      </w:hyperlink>
      <w:r>
        <w:t xml:space="preserve"> расчета индексов изменения сметной стоимости строительства, утвержденной приказом Минстроя России от 5 июня 2019 г. N 326/</w:t>
      </w:r>
      <w:proofErr w:type="spellStart"/>
      <w:proofErr w:type="gramStart"/>
      <w:r>
        <w:t>пр</w:t>
      </w:r>
      <w:proofErr w:type="spellEnd"/>
      <w:proofErr w:type="gramEnd"/>
      <w:r>
        <w:t>, с использованием данных ФАУ "</w:t>
      </w:r>
      <w:proofErr w:type="spellStart"/>
      <w:r>
        <w:t>Главгосэкспертиза</w:t>
      </w:r>
      <w:proofErr w:type="spellEnd"/>
      <w:r>
        <w:t xml:space="preserve"> России", органов исполнительной власти субъектов Российской Федерации за III квартал 2020 года с учетом прогнозного показателя инфляции, установленного Минэкономразвития России.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 xml:space="preserve">Одновременно сообщается, что Индексы для субъектов Российской Федерации, которые отсутствуют в </w:t>
      </w:r>
      <w:hyperlink w:anchor="P21" w:history="1">
        <w:r>
          <w:rPr>
            <w:color w:val="0000FF"/>
          </w:rPr>
          <w:t>Приложениях</w:t>
        </w:r>
      </w:hyperlink>
      <w:r>
        <w:t xml:space="preserve"> к настоящему письму и Письмам Минстроя России, будут сообщены дополнительно.</w:t>
      </w: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right"/>
      </w:pPr>
      <w:r>
        <w:t>И.Э.ФАЙЗУЛЛИН</w:t>
      </w: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right"/>
        <w:outlineLvl w:val="0"/>
      </w:pPr>
      <w:r>
        <w:t>Приложение N 1</w:t>
      </w:r>
    </w:p>
    <w:p w:rsidR="00F94667" w:rsidRDefault="00F94667">
      <w:pPr>
        <w:pStyle w:val="ConsPlusNormal"/>
        <w:jc w:val="right"/>
      </w:pPr>
      <w:r>
        <w:t>к письму Минстроя России</w:t>
      </w:r>
    </w:p>
    <w:p w:rsidR="00F94667" w:rsidRDefault="00F94667">
      <w:pPr>
        <w:pStyle w:val="ConsPlusNormal"/>
        <w:jc w:val="right"/>
      </w:pPr>
      <w:r>
        <w:t>от ______________ N ____</w:t>
      </w: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Title"/>
        <w:jc w:val="center"/>
      </w:pPr>
      <w:bookmarkStart w:id="1" w:name="P21"/>
      <w:bookmarkEnd w:id="1"/>
      <w:r>
        <w:t>ИНДЕКСЫ</w:t>
      </w:r>
    </w:p>
    <w:p w:rsidR="00F94667" w:rsidRDefault="00F94667">
      <w:pPr>
        <w:pStyle w:val="ConsPlusTitle"/>
        <w:jc w:val="center"/>
      </w:pPr>
      <w:r>
        <w:t xml:space="preserve">ИЗМЕНЕНИЯ СМЕТНОЙ СТОИМОСТИ </w:t>
      </w:r>
      <w:proofErr w:type="gramStart"/>
      <w:r>
        <w:t>СТРОИТЕЛЬНО-МОНТАЖНЫХ</w:t>
      </w:r>
      <w:proofErr w:type="gramEnd"/>
    </w:p>
    <w:p w:rsidR="00F94667" w:rsidRDefault="00F94667">
      <w:pPr>
        <w:pStyle w:val="ConsPlusTitle"/>
        <w:jc w:val="center"/>
      </w:pPr>
      <w:r>
        <w:t>И ПУСКОНАЛАДОЧНЫХ РАБОТ ПО ОБЪЕКТАМ СТРОИТЕЛЬСТВА,</w:t>
      </w:r>
    </w:p>
    <w:p w:rsidR="00F94667" w:rsidRDefault="00F94667">
      <w:pPr>
        <w:pStyle w:val="ConsPlusTitle"/>
        <w:jc w:val="center"/>
      </w:pPr>
      <w:proofErr w:type="gramStart"/>
      <w:r>
        <w:t>ОПРЕДЕЛЯЕМЫХ</w:t>
      </w:r>
      <w:proofErr w:type="gramEnd"/>
      <w:r>
        <w:t xml:space="preserve"> С ПРИМЕНЕНИЕМ ФЕДЕРАЛЬНЫХ И ТЕРРИТОРИАЛЬНЫХ</w:t>
      </w:r>
    </w:p>
    <w:p w:rsidR="00F94667" w:rsidRDefault="00F94667">
      <w:pPr>
        <w:pStyle w:val="ConsPlusTitle"/>
        <w:jc w:val="center"/>
      </w:pPr>
      <w:r>
        <w:t xml:space="preserve">ЕДИНИЧНЫХ РАСЦЕНОК, НА IV КВАРТАЛ 2020 ГОДА </w:t>
      </w:r>
      <w:hyperlink w:anchor="P442" w:history="1">
        <w:r>
          <w:rPr>
            <w:color w:val="0000FF"/>
          </w:rPr>
          <w:t>&lt;1&gt;</w:t>
        </w:r>
      </w:hyperlink>
      <w:r>
        <w:t xml:space="preserve">, </w:t>
      </w:r>
      <w:hyperlink w:anchor="P443" w:history="1">
        <w:r>
          <w:rPr>
            <w:color w:val="0000FF"/>
          </w:rPr>
          <w:t>&lt;2&gt;</w:t>
        </w:r>
      </w:hyperlink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Title"/>
        <w:jc w:val="center"/>
        <w:outlineLvl w:val="1"/>
      </w:pPr>
      <w:r>
        <w:t>Центральный федеральный округ</w:t>
      </w: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right"/>
      </w:pPr>
      <w:r>
        <w:t>(без НДС)</w:t>
      </w:r>
    </w:p>
    <w:p w:rsidR="00F94667" w:rsidRDefault="00F946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531"/>
        <w:gridCol w:w="1848"/>
        <w:gridCol w:w="1843"/>
        <w:gridCol w:w="1862"/>
      </w:tblGrid>
      <w:tr w:rsidR="00F94667">
        <w:tc>
          <w:tcPr>
            <w:tcW w:w="3515" w:type="dxa"/>
            <w:gridSpan w:val="2"/>
            <w:vMerge w:val="restart"/>
          </w:tcPr>
          <w:p w:rsidR="00F94667" w:rsidRDefault="00F94667">
            <w:pPr>
              <w:pStyle w:val="ConsPlusNormal"/>
              <w:jc w:val="center"/>
            </w:pPr>
            <w:r>
              <w:t>Объе</w:t>
            </w:r>
            <w:proofErr w:type="gramStart"/>
            <w:r>
              <w:t>кт стр</w:t>
            </w:r>
            <w:proofErr w:type="gramEnd"/>
            <w:r>
              <w:t>оительства</w:t>
            </w:r>
          </w:p>
        </w:tc>
        <w:tc>
          <w:tcPr>
            <w:tcW w:w="5553" w:type="dxa"/>
            <w:gridSpan w:val="3"/>
          </w:tcPr>
          <w:p w:rsidR="00F94667" w:rsidRDefault="00F94667">
            <w:pPr>
              <w:pStyle w:val="ConsPlusNormal"/>
              <w:jc w:val="center"/>
            </w:pPr>
            <w:r>
              <w:t>Индексы к ФЕР-2001/ТЕР-2001 по объектам строительства</w:t>
            </w:r>
          </w:p>
        </w:tc>
      </w:tr>
      <w:tr w:rsidR="00F94667">
        <w:tc>
          <w:tcPr>
            <w:tcW w:w="3515" w:type="dxa"/>
            <w:gridSpan w:val="2"/>
            <w:vMerge/>
          </w:tcPr>
          <w:p w:rsidR="00F94667" w:rsidRDefault="00F94667"/>
        </w:tc>
        <w:tc>
          <w:tcPr>
            <w:tcW w:w="1848" w:type="dxa"/>
          </w:tcPr>
          <w:p w:rsidR="00F94667" w:rsidRDefault="00F94667">
            <w:pPr>
              <w:pStyle w:val="ConsPlusNormal"/>
              <w:jc w:val="center"/>
            </w:pPr>
            <w:r>
              <w:t>Московская область</w:t>
            </w:r>
          </w:p>
        </w:tc>
        <w:tc>
          <w:tcPr>
            <w:tcW w:w="1843" w:type="dxa"/>
          </w:tcPr>
          <w:p w:rsidR="00F94667" w:rsidRDefault="00F94667">
            <w:pPr>
              <w:pStyle w:val="ConsPlusNormal"/>
              <w:jc w:val="center"/>
            </w:pPr>
            <w:r>
              <w:t>Орловская область</w:t>
            </w:r>
          </w:p>
        </w:tc>
        <w:tc>
          <w:tcPr>
            <w:tcW w:w="1862" w:type="dxa"/>
          </w:tcPr>
          <w:p w:rsidR="00F94667" w:rsidRDefault="00F94667">
            <w:pPr>
              <w:pStyle w:val="ConsPlusNormal"/>
              <w:jc w:val="center"/>
            </w:pPr>
            <w:r w:rsidRPr="00857D67">
              <w:rPr>
                <w:highlight w:val="yellow"/>
              </w:rPr>
              <w:t>Рязанская область</w:t>
            </w:r>
          </w:p>
        </w:tc>
      </w:tr>
      <w:tr w:rsidR="00F94667">
        <w:tc>
          <w:tcPr>
            <w:tcW w:w="1984" w:type="dxa"/>
            <w:vMerge w:val="restart"/>
            <w:vAlign w:val="center"/>
          </w:tcPr>
          <w:p w:rsidR="00F94667" w:rsidRDefault="00F94667">
            <w:pPr>
              <w:pStyle w:val="ConsPlusNormal"/>
            </w:pPr>
            <w:r>
              <w:t>Многоквартирные жилые дома</w:t>
            </w:r>
          </w:p>
        </w:tc>
        <w:tc>
          <w:tcPr>
            <w:tcW w:w="1531" w:type="dxa"/>
            <w:vAlign w:val="center"/>
          </w:tcPr>
          <w:p w:rsidR="00F94667" w:rsidRDefault="00F94667">
            <w:pPr>
              <w:pStyle w:val="ConsPlusNormal"/>
            </w:pPr>
            <w:r>
              <w:t>Кирпичные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10,41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10,51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7,91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7,90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8,24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1984" w:type="dxa"/>
            <w:vMerge/>
          </w:tcPr>
          <w:p w:rsidR="00F94667" w:rsidRDefault="00F94667"/>
        </w:tc>
        <w:tc>
          <w:tcPr>
            <w:tcW w:w="1531" w:type="dxa"/>
            <w:vAlign w:val="center"/>
          </w:tcPr>
          <w:p w:rsidR="00F94667" w:rsidRDefault="00F94667">
            <w:pPr>
              <w:pStyle w:val="ConsPlusNormal"/>
            </w:pPr>
            <w:r>
              <w:t>Панельные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9,92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10,61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7,59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7,56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7,70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1984" w:type="dxa"/>
            <w:vMerge/>
          </w:tcPr>
          <w:p w:rsidR="00F94667" w:rsidRDefault="00F94667"/>
        </w:tc>
        <w:tc>
          <w:tcPr>
            <w:tcW w:w="1531" w:type="dxa"/>
            <w:vAlign w:val="center"/>
          </w:tcPr>
          <w:p w:rsidR="00F94667" w:rsidRDefault="00F94667">
            <w:pPr>
              <w:pStyle w:val="ConsPlusNormal"/>
            </w:pPr>
            <w:r>
              <w:t>Монолитные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9,68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9,77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7,60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7,60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7,84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1984" w:type="dxa"/>
            <w:vMerge/>
          </w:tcPr>
          <w:p w:rsidR="00F94667" w:rsidRDefault="00F94667"/>
        </w:tc>
        <w:tc>
          <w:tcPr>
            <w:tcW w:w="1531" w:type="dxa"/>
            <w:vAlign w:val="center"/>
          </w:tcPr>
          <w:p w:rsidR="00F94667" w:rsidRDefault="00F94667">
            <w:pPr>
              <w:pStyle w:val="ConsPlusNormal"/>
            </w:pPr>
            <w:r>
              <w:t>Прочие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9,95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10,16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7,69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7,69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7,93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Административные здания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9,31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9,51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7,20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7,14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7,36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1984" w:type="dxa"/>
            <w:vMerge w:val="restart"/>
            <w:vAlign w:val="center"/>
          </w:tcPr>
          <w:p w:rsidR="00F94667" w:rsidRDefault="00F94667">
            <w:pPr>
              <w:pStyle w:val="ConsPlusNormal"/>
            </w:pPr>
            <w:r>
              <w:t>Объекты образования</w:t>
            </w:r>
          </w:p>
        </w:tc>
        <w:tc>
          <w:tcPr>
            <w:tcW w:w="1531" w:type="dxa"/>
            <w:vAlign w:val="center"/>
          </w:tcPr>
          <w:p w:rsidR="00F94667" w:rsidRDefault="00F94667">
            <w:pPr>
              <w:pStyle w:val="ConsPlusNormal"/>
            </w:pPr>
            <w:r>
              <w:t>Детские сады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8,62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8,82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7,02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7,16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7,21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1984" w:type="dxa"/>
            <w:vMerge/>
          </w:tcPr>
          <w:p w:rsidR="00F94667" w:rsidRDefault="00F94667"/>
        </w:tc>
        <w:tc>
          <w:tcPr>
            <w:tcW w:w="1531" w:type="dxa"/>
            <w:vAlign w:val="center"/>
          </w:tcPr>
          <w:p w:rsidR="00F94667" w:rsidRDefault="00F94667">
            <w:pPr>
              <w:pStyle w:val="ConsPlusNormal"/>
            </w:pPr>
            <w:r>
              <w:t>Школы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8,47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8,56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6,72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6,88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6,80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1984" w:type="dxa"/>
            <w:vMerge/>
          </w:tcPr>
          <w:p w:rsidR="00F94667" w:rsidRDefault="00F94667"/>
        </w:tc>
        <w:tc>
          <w:tcPr>
            <w:tcW w:w="1531" w:type="dxa"/>
            <w:vAlign w:val="center"/>
          </w:tcPr>
          <w:p w:rsidR="00F94667" w:rsidRDefault="00F94667">
            <w:pPr>
              <w:pStyle w:val="ConsPlusNormal"/>
            </w:pPr>
            <w:r>
              <w:t>Прочие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8,57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8,73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6,92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7,07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7,07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1984" w:type="dxa"/>
            <w:vMerge w:val="restart"/>
            <w:vAlign w:val="center"/>
          </w:tcPr>
          <w:p w:rsidR="00F94667" w:rsidRDefault="00F94667">
            <w:pPr>
              <w:pStyle w:val="ConsPlusNormal"/>
            </w:pPr>
            <w:r>
              <w:t>Объекты здравоохранения</w:t>
            </w:r>
          </w:p>
        </w:tc>
        <w:tc>
          <w:tcPr>
            <w:tcW w:w="1531" w:type="dxa"/>
            <w:vAlign w:val="center"/>
          </w:tcPr>
          <w:p w:rsidR="00F94667" w:rsidRDefault="00F94667">
            <w:pPr>
              <w:pStyle w:val="ConsPlusNormal"/>
            </w:pPr>
            <w:r>
              <w:t>Поликлиники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9,63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9,69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7,51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7,61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7,90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1984" w:type="dxa"/>
            <w:vMerge/>
          </w:tcPr>
          <w:p w:rsidR="00F94667" w:rsidRDefault="00F94667"/>
        </w:tc>
        <w:tc>
          <w:tcPr>
            <w:tcW w:w="1531" w:type="dxa"/>
            <w:vAlign w:val="center"/>
          </w:tcPr>
          <w:p w:rsidR="00F94667" w:rsidRDefault="00F94667">
            <w:pPr>
              <w:pStyle w:val="ConsPlusNormal"/>
            </w:pPr>
            <w:r>
              <w:t>Больницы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9,50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9,46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7,59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7,57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7,87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1984" w:type="dxa"/>
            <w:vMerge/>
          </w:tcPr>
          <w:p w:rsidR="00F94667" w:rsidRDefault="00F94667"/>
        </w:tc>
        <w:tc>
          <w:tcPr>
            <w:tcW w:w="1531" w:type="dxa"/>
            <w:vAlign w:val="center"/>
          </w:tcPr>
          <w:p w:rsidR="00F94667" w:rsidRDefault="00F94667">
            <w:pPr>
              <w:pStyle w:val="ConsPlusNormal"/>
            </w:pPr>
            <w:r>
              <w:t>Прочие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9,52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9,52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7,55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7,57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7,87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Объекты спортивного назначения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9,16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9,31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7,32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7,33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7,52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Объекты культуры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9,78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9,87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7,66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7,63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8,00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Котельные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9,19</w:t>
            </w:r>
          </w:p>
          <w:p w:rsidR="00F94667" w:rsidRDefault="00F94667">
            <w:pPr>
              <w:pStyle w:val="ConsPlusNormal"/>
              <w:jc w:val="center"/>
            </w:pPr>
            <w:r>
              <w:lastRenderedPageBreak/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9,98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lastRenderedPageBreak/>
              <w:t>7,38</w:t>
            </w:r>
          </w:p>
          <w:p w:rsidR="00F94667" w:rsidRDefault="00F94667">
            <w:pPr>
              <w:pStyle w:val="ConsPlusNormal"/>
              <w:jc w:val="center"/>
            </w:pPr>
            <w:r>
              <w:lastRenderedPageBreak/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7,37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lastRenderedPageBreak/>
              <w:t>7,50</w:t>
            </w:r>
          </w:p>
          <w:p w:rsidR="00F94667" w:rsidRDefault="00F94667">
            <w:pPr>
              <w:pStyle w:val="ConsPlusNormal"/>
              <w:jc w:val="center"/>
            </w:pPr>
            <w:r>
              <w:lastRenderedPageBreak/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lastRenderedPageBreak/>
              <w:t>Очистные сооружения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9,48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10,12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7,76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7,88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7,99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Внешние инженерные сети теплоснабжения</w:t>
            </w:r>
          </w:p>
        </w:tc>
        <w:tc>
          <w:tcPr>
            <w:tcW w:w="1848" w:type="dxa"/>
          </w:tcPr>
          <w:p w:rsidR="00F94667" w:rsidRDefault="00F94667">
            <w:pPr>
              <w:pStyle w:val="ConsPlusNormal"/>
              <w:jc w:val="center"/>
            </w:pPr>
            <w:r>
              <w:t>8,00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8,06</w:t>
            </w:r>
          </w:p>
        </w:tc>
        <w:tc>
          <w:tcPr>
            <w:tcW w:w="1843" w:type="dxa"/>
          </w:tcPr>
          <w:p w:rsidR="00F94667" w:rsidRDefault="00F94667">
            <w:pPr>
              <w:pStyle w:val="ConsPlusNormal"/>
              <w:jc w:val="center"/>
            </w:pPr>
            <w:r>
              <w:t>7,32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7,53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7,35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Внешние инженерные сети водопровода</w:t>
            </w:r>
          </w:p>
        </w:tc>
        <w:tc>
          <w:tcPr>
            <w:tcW w:w="1848" w:type="dxa"/>
          </w:tcPr>
          <w:p w:rsidR="00F94667" w:rsidRDefault="00F94667">
            <w:pPr>
              <w:pStyle w:val="ConsPlusNormal"/>
              <w:jc w:val="center"/>
            </w:pPr>
            <w:r>
              <w:t>6,53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6,35</w:t>
            </w:r>
          </w:p>
        </w:tc>
        <w:tc>
          <w:tcPr>
            <w:tcW w:w="1843" w:type="dxa"/>
          </w:tcPr>
          <w:p w:rsidR="00F94667" w:rsidRDefault="00F94667">
            <w:pPr>
              <w:pStyle w:val="ConsPlusNormal"/>
              <w:jc w:val="center"/>
            </w:pPr>
            <w:r>
              <w:t>5,64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5,97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5,94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Внешние инженерные сети канализации</w:t>
            </w:r>
          </w:p>
        </w:tc>
        <w:tc>
          <w:tcPr>
            <w:tcW w:w="1848" w:type="dxa"/>
          </w:tcPr>
          <w:p w:rsidR="00F94667" w:rsidRDefault="00F94667">
            <w:pPr>
              <w:pStyle w:val="ConsPlusNormal"/>
              <w:jc w:val="center"/>
            </w:pPr>
            <w:r>
              <w:t>11,11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10,97</w:t>
            </w:r>
          </w:p>
        </w:tc>
        <w:tc>
          <w:tcPr>
            <w:tcW w:w="1843" w:type="dxa"/>
          </w:tcPr>
          <w:p w:rsidR="00F94667" w:rsidRDefault="00F94667">
            <w:pPr>
              <w:pStyle w:val="ConsPlusNormal"/>
              <w:jc w:val="center"/>
            </w:pPr>
            <w:r>
              <w:t>8,62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8,50</w:t>
            </w:r>
          </w:p>
        </w:tc>
        <w:tc>
          <w:tcPr>
            <w:tcW w:w="1862" w:type="dxa"/>
          </w:tcPr>
          <w:p w:rsidR="00F94667" w:rsidRDefault="00F94667">
            <w:pPr>
              <w:pStyle w:val="ConsPlusNormal"/>
              <w:jc w:val="center"/>
            </w:pPr>
            <w:r>
              <w:t>9,02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Внешние инженерные сети газоснабжения</w:t>
            </w:r>
          </w:p>
        </w:tc>
        <w:tc>
          <w:tcPr>
            <w:tcW w:w="1848" w:type="dxa"/>
          </w:tcPr>
          <w:p w:rsidR="00F94667" w:rsidRDefault="00F94667">
            <w:pPr>
              <w:pStyle w:val="ConsPlusNormal"/>
              <w:jc w:val="center"/>
            </w:pPr>
            <w:r>
              <w:t>9,49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9,33</w:t>
            </w:r>
          </w:p>
        </w:tc>
        <w:tc>
          <w:tcPr>
            <w:tcW w:w="1843" w:type="dxa"/>
          </w:tcPr>
          <w:p w:rsidR="00F94667" w:rsidRDefault="00F94667">
            <w:pPr>
              <w:pStyle w:val="ConsPlusNormal"/>
              <w:jc w:val="center"/>
            </w:pPr>
            <w:r>
              <w:t>7,34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7,34</w:t>
            </w:r>
          </w:p>
        </w:tc>
        <w:tc>
          <w:tcPr>
            <w:tcW w:w="1862" w:type="dxa"/>
          </w:tcPr>
          <w:p w:rsidR="00F94667" w:rsidRDefault="00F94667">
            <w:pPr>
              <w:pStyle w:val="ConsPlusNormal"/>
              <w:jc w:val="center"/>
            </w:pPr>
            <w:r>
              <w:t>7,50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Подземная прокладка кабеля с медными жилами</w:t>
            </w:r>
          </w:p>
        </w:tc>
        <w:tc>
          <w:tcPr>
            <w:tcW w:w="1848" w:type="dxa"/>
          </w:tcPr>
          <w:p w:rsidR="00F94667" w:rsidRDefault="00F94667">
            <w:pPr>
              <w:pStyle w:val="ConsPlusNormal"/>
              <w:jc w:val="center"/>
            </w:pPr>
            <w:r>
              <w:t>6,64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1843" w:type="dxa"/>
          </w:tcPr>
          <w:p w:rsidR="00F94667" w:rsidRDefault="00F94667">
            <w:pPr>
              <w:pStyle w:val="ConsPlusNormal"/>
              <w:jc w:val="center"/>
            </w:pPr>
            <w:r>
              <w:t>6,05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6,09</w:t>
            </w:r>
          </w:p>
        </w:tc>
        <w:tc>
          <w:tcPr>
            <w:tcW w:w="1862" w:type="dxa"/>
          </w:tcPr>
          <w:p w:rsidR="00F94667" w:rsidRDefault="00F94667">
            <w:pPr>
              <w:pStyle w:val="ConsPlusNormal"/>
              <w:jc w:val="center"/>
            </w:pPr>
            <w:r>
              <w:t>6,04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Подземная прокладка кабеля с алюминиевыми жилами</w:t>
            </w:r>
          </w:p>
        </w:tc>
        <w:tc>
          <w:tcPr>
            <w:tcW w:w="1848" w:type="dxa"/>
          </w:tcPr>
          <w:p w:rsidR="00F94667" w:rsidRDefault="00F94667">
            <w:pPr>
              <w:pStyle w:val="ConsPlusNormal"/>
              <w:jc w:val="center"/>
            </w:pPr>
            <w:r>
              <w:t>7,58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10,61</w:t>
            </w:r>
          </w:p>
        </w:tc>
        <w:tc>
          <w:tcPr>
            <w:tcW w:w="1843" w:type="dxa"/>
          </w:tcPr>
          <w:p w:rsidR="00F94667" w:rsidRDefault="00F94667">
            <w:pPr>
              <w:pStyle w:val="ConsPlusNormal"/>
              <w:jc w:val="center"/>
            </w:pPr>
            <w:r>
              <w:t>5,84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5,89</w:t>
            </w:r>
          </w:p>
        </w:tc>
        <w:tc>
          <w:tcPr>
            <w:tcW w:w="1862" w:type="dxa"/>
          </w:tcPr>
          <w:p w:rsidR="00F94667" w:rsidRDefault="00F94667">
            <w:pPr>
              <w:pStyle w:val="ConsPlusNormal"/>
              <w:jc w:val="center"/>
            </w:pPr>
            <w:r>
              <w:t>6,06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Воздушная прокладка провода с медными жилами</w:t>
            </w:r>
          </w:p>
        </w:tc>
        <w:tc>
          <w:tcPr>
            <w:tcW w:w="1848" w:type="dxa"/>
          </w:tcPr>
          <w:p w:rsidR="00F94667" w:rsidRDefault="00F94667">
            <w:pPr>
              <w:pStyle w:val="ConsPlusNormal"/>
              <w:jc w:val="center"/>
            </w:pPr>
            <w:r>
              <w:t>5,30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7,31</w:t>
            </w:r>
          </w:p>
        </w:tc>
        <w:tc>
          <w:tcPr>
            <w:tcW w:w="1843" w:type="dxa"/>
          </w:tcPr>
          <w:p w:rsidR="00F94667" w:rsidRDefault="00F94667">
            <w:pPr>
              <w:pStyle w:val="ConsPlusNormal"/>
              <w:jc w:val="center"/>
            </w:pPr>
            <w:r>
              <w:t>5,28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5,29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5,14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Воздушная прокладка провода с алюминиевыми жилами</w:t>
            </w:r>
          </w:p>
        </w:tc>
        <w:tc>
          <w:tcPr>
            <w:tcW w:w="1848" w:type="dxa"/>
          </w:tcPr>
          <w:p w:rsidR="00F94667" w:rsidRDefault="00F94667">
            <w:pPr>
              <w:pStyle w:val="ConsPlusNormal"/>
              <w:jc w:val="center"/>
            </w:pPr>
            <w:r>
              <w:t>5,57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7,17</w:t>
            </w:r>
          </w:p>
        </w:tc>
        <w:tc>
          <w:tcPr>
            <w:tcW w:w="1843" w:type="dxa"/>
          </w:tcPr>
          <w:p w:rsidR="00F94667" w:rsidRDefault="00F94667">
            <w:pPr>
              <w:pStyle w:val="ConsPlusNormal"/>
              <w:jc w:val="center"/>
            </w:pPr>
            <w:r>
              <w:t>5,33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5,34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5,19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Сети наружного освещения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12,48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12,35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9,21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9,36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9,39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Прочие объекты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9,53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9,78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7,82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7,86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 w:rsidRPr="00857D67">
              <w:rPr>
                <w:highlight w:val="yellow"/>
              </w:rPr>
              <w:t>7,87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Пусконаладочные работы</w:t>
            </w:r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29,33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29,33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16,64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16,50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16,89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 xml:space="preserve">Электрификация железных дорог </w:t>
            </w:r>
            <w:hyperlink w:anchor="P444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7,04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5,63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5,86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 xml:space="preserve">Железные дороги </w:t>
            </w:r>
            <w:hyperlink w:anchor="P444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848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9,41</w:t>
            </w:r>
          </w:p>
        </w:tc>
        <w:tc>
          <w:tcPr>
            <w:tcW w:w="1843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8,14</w:t>
            </w:r>
          </w:p>
        </w:tc>
        <w:tc>
          <w:tcPr>
            <w:tcW w:w="1862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8,52</w:t>
            </w:r>
          </w:p>
        </w:tc>
      </w:tr>
      <w:tr w:rsidR="00F94667">
        <w:tc>
          <w:tcPr>
            <w:tcW w:w="351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lastRenderedPageBreak/>
              <w:t xml:space="preserve">Аэродромы гражданского назначения </w:t>
            </w:r>
            <w:hyperlink w:anchor="P445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848" w:type="dxa"/>
          </w:tcPr>
          <w:p w:rsidR="00F94667" w:rsidRDefault="00F94667">
            <w:pPr>
              <w:pStyle w:val="ConsPlusNormal"/>
              <w:jc w:val="center"/>
            </w:pPr>
            <w:r>
              <w:t>10,34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1843" w:type="dxa"/>
          </w:tcPr>
          <w:p w:rsidR="00F94667" w:rsidRDefault="00F94667">
            <w:pPr>
              <w:pStyle w:val="ConsPlusNormal"/>
              <w:jc w:val="center"/>
            </w:pPr>
            <w:r>
              <w:t>9,11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9,11</w:t>
            </w:r>
          </w:p>
        </w:tc>
        <w:tc>
          <w:tcPr>
            <w:tcW w:w="1862" w:type="dxa"/>
          </w:tcPr>
          <w:p w:rsidR="00F94667" w:rsidRDefault="00F94667">
            <w:pPr>
              <w:pStyle w:val="ConsPlusNormal"/>
              <w:jc w:val="center"/>
            </w:pPr>
            <w:r>
              <w:t>8,87</w:t>
            </w:r>
          </w:p>
          <w:p w:rsidR="00F94667" w:rsidRDefault="00F94667">
            <w:pPr>
              <w:pStyle w:val="ConsPlusNormal"/>
              <w:jc w:val="center"/>
            </w:pPr>
            <w:r>
              <w:t>-------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</w:tbl>
    <w:p w:rsidR="00F94667" w:rsidRDefault="00F94667">
      <w:pPr>
        <w:pStyle w:val="ConsPlusNormal"/>
        <w:jc w:val="both"/>
      </w:pPr>
    </w:p>
    <w:p w:rsidR="00F94667" w:rsidRDefault="00F94667">
      <w:pPr>
        <w:pStyle w:val="ConsPlusTitle"/>
        <w:jc w:val="center"/>
        <w:outlineLvl w:val="1"/>
      </w:pPr>
      <w:r>
        <w:t>Северо-Кавказский федеральный округ</w:t>
      </w: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right"/>
      </w:pPr>
      <w:r>
        <w:t>(без НДС)</w:t>
      </w:r>
    </w:p>
    <w:p w:rsidR="00F94667" w:rsidRDefault="00F946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814"/>
        <w:gridCol w:w="4876"/>
      </w:tblGrid>
      <w:tr w:rsidR="00F94667">
        <w:tc>
          <w:tcPr>
            <w:tcW w:w="4195" w:type="dxa"/>
            <w:gridSpan w:val="2"/>
            <w:vMerge w:val="restart"/>
          </w:tcPr>
          <w:p w:rsidR="00F94667" w:rsidRDefault="00F94667">
            <w:pPr>
              <w:pStyle w:val="ConsPlusNormal"/>
              <w:jc w:val="center"/>
            </w:pPr>
            <w:r>
              <w:t>Объе</w:t>
            </w:r>
            <w:proofErr w:type="gramStart"/>
            <w:r>
              <w:t>кт стр</w:t>
            </w:r>
            <w:proofErr w:type="gramEnd"/>
            <w:r>
              <w:t>оительства</w:t>
            </w:r>
          </w:p>
        </w:tc>
        <w:tc>
          <w:tcPr>
            <w:tcW w:w="4876" w:type="dxa"/>
          </w:tcPr>
          <w:p w:rsidR="00F94667" w:rsidRDefault="00F94667">
            <w:pPr>
              <w:pStyle w:val="ConsPlusNormal"/>
              <w:jc w:val="center"/>
            </w:pPr>
            <w:r>
              <w:t>Индексы к ФЕР-2001/ТЕР-2001 по объектам строительства</w:t>
            </w:r>
          </w:p>
        </w:tc>
      </w:tr>
      <w:tr w:rsidR="00F94667">
        <w:tc>
          <w:tcPr>
            <w:tcW w:w="4195" w:type="dxa"/>
            <w:gridSpan w:val="2"/>
            <w:vMerge/>
          </w:tcPr>
          <w:p w:rsidR="00F94667" w:rsidRDefault="00F94667"/>
        </w:tc>
        <w:tc>
          <w:tcPr>
            <w:tcW w:w="4876" w:type="dxa"/>
          </w:tcPr>
          <w:p w:rsidR="00F94667" w:rsidRDefault="00F94667">
            <w:pPr>
              <w:pStyle w:val="ConsPlusNormal"/>
              <w:jc w:val="center"/>
            </w:pPr>
            <w:r>
              <w:t>Республика Ингушетия</w:t>
            </w:r>
          </w:p>
        </w:tc>
      </w:tr>
      <w:tr w:rsidR="00F94667">
        <w:tc>
          <w:tcPr>
            <w:tcW w:w="2381" w:type="dxa"/>
            <w:vMerge w:val="restart"/>
            <w:vAlign w:val="center"/>
          </w:tcPr>
          <w:p w:rsidR="00F94667" w:rsidRDefault="00F94667">
            <w:pPr>
              <w:pStyle w:val="ConsPlusNormal"/>
            </w:pPr>
            <w:r>
              <w:t>Многоквартирные жилые дома</w:t>
            </w:r>
          </w:p>
        </w:tc>
        <w:tc>
          <w:tcPr>
            <w:tcW w:w="1814" w:type="dxa"/>
            <w:vAlign w:val="center"/>
          </w:tcPr>
          <w:p w:rsidR="00F94667" w:rsidRDefault="00F94667">
            <w:pPr>
              <w:pStyle w:val="ConsPlusNormal"/>
            </w:pPr>
            <w:r>
              <w:t>Кирпичные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6,42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8,41</w:t>
            </w:r>
          </w:p>
        </w:tc>
      </w:tr>
      <w:tr w:rsidR="00F94667">
        <w:tc>
          <w:tcPr>
            <w:tcW w:w="2381" w:type="dxa"/>
            <w:vMerge/>
          </w:tcPr>
          <w:p w:rsidR="00F94667" w:rsidRDefault="00F94667"/>
        </w:tc>
        <w:tc>
          <w:tcPr>
            <w:tcW w:w="1814" w:type="dxa"/>
            <w:vAlign w:val="center"/>
          </w:tcPr>
          <w:p w:rsidR="00F94667" w:rsidRDefault="00F94667">
            <w:pPr>
              <w:pStyle w:val="ConsPlusNormal"/>
            </w:pPr>
            <w:r>
              <w:t>Панельные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5,96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6,27</w:t>
            </w:r>
          </w:p>
        </w:tc>
      </w:tr>
      <w:tr w:rsidR="00F94667">
        <w:tc>
          <w:tcPr>
            <w:tcW w:w="2381" w:type="dxa"/>
            <w:vMerge/>
          </w:tcPr>
          <w:p w:rsidR="00F94667" w:rsidRDefault="00F94667"/>
        </w:tc>
        <w:tc>
          <w:tcPr>
            <w:tcW w:w="1814" w:type="dxa"/>
            <w:vAlign w:val="center"/>
          </w:tcPr>
          <w:p w:rsidR="00F94667" w:rsidRDefault="00F94667">
            <w:pPr>
              <w:pStyle w:val="ConsPlusNormal"/>
            </w:pPr>
            <w:r>
              <w:t>Монолитные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6,08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7,17</w:t>
            </w:r>
          </w:p>
        </w:tc>
      </w:tr>
      <w:tr w:rsidR="00F94667">
        <w:tc>
          <w:tcPr>
            <w:tcW w:w="2381" w:type="dxa"/>
            <w:vMerge/>
          </w:tcPr>
          <w:p w:rsidR="00F94667" w:rsidRDefault="00F94667"/>
        </w:tc>
        <w:tc>
          <w:tcPr>
            <w:tcW w:w="1814" w:type="dxa"/>
            <w:vAlign w:val="center"/>
          </w:tcPr>
          <w:p w:rsidR="00F94667" w:rsidRDefault="00F94667">
            <w:pPr>
              <w:pStyle w:val="ConsPlusNormal"/>
            </w:pPr>
            <w:r>
              <w:t>Прочие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6,19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7,34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Административные здания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6,57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6,83</w:t>
            </w:r>
          </w:p>
        </w:tc>
      </w:tr>
      <w:tr w:rsidR="00F94667">
        <w:tc>
          <w:tcPr>
            <w:tcW w:w="2381" w:type="dxa"/>
            <w:vMerge w:val="restart"/>
            <w:vAlign w:val="center"/>
          </w:tcPr>
          <w:p w:rsidR="00F94667" w:rsidRDefault="00F94667">
            <w:pPr>
              <w:pStyle w:val="ConsPlusNormal"/>
            </w:pPr>
            <w:r>
              <w:t>Объекты образования</w:t>
            </w:r>
          </w:p>
        </w:tc>
        <w:tc>
          <w:tcPr>
            <w:tcW w:w="1814" w:type="dxa"/>
            <w:vAlign w:val="center"/>
          </w:tcPr>
          <w:p w:rsidR="00F94667" w:rsidRDefault="00F94667">
            <w:pPr>
              <w:pStyle w:val="ConsPlusNormal"/>
            </w:pPr>
            <w:r>
              <w:t>Детские сады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6,58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8,28</w:t>
            </w:r>
          </w:p>
        </w:tc>
      </w:tr>
      <w:tr w:rsidR="00F94667">
        <w:tc>
          <w:tcPr>
            <w:tcW w:w="2381" w:type="dxa"/>
            <w:vMerge/>
          </w:tcPr>
          <w:p w:rsidR="00F94667" w:rsidRDefault="00F94667"/>
        </w:tc>
        <w:tc>
          <w:tcPr>
            <w:tcW w:w="1814" w:type="dxa"/>
            <w:vAlign w:val="center"/>
          </w:tcPr>
          <w:p w:rsidR="00F94667" w:rsidRDefault="00F94667">
            <w:pPr>
              <w:pStyle w:val="ConsPlusNormal"/>
            </w:pPr>
            <w:r>
              <w:t>Школы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6,73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7,91</w:t>
            </w:r>
          </w:p>
        </w:tc>
      </w:tr>
      <w:tr w:rsidR="00F94667">
        <w:tc>
          <w:tcPr>
            <w:tcW w:w="2381" w:type="dxa"/>
            <w:vMerge/>
          </w:tcPr>
          <w:p w:rsidR="00F94667" w:rsidRDefault="00F94667"/>
        </w:tc>
        <w:tc>
          <w:tcPr>
            <w:tcW w:w="1814" w:type="dxa"/>
            <w:vAlign w:val="center"/>
          </w:tcPr>
          <w:p w:rsidR="00F94667" w:rsidRDefault="00F94667">
            <w:pPr>
              <w:pStyle w:val="ConsPlusNormal"/>
            </w:pPr>
            <w:r>
              <w:t>Прочие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6,58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8,11</w:t>
            </w:r>
          </w:p>
        </w:tc>
      </w:tr>
      <w:tr w:rsidR="00F94667">
        <w:tc>
          <w:tcPr>
            <w:tcW w:w="2381" w:type="dxa"/>
            <w:vMerge w:val="restart"/>
            <w:vAlign w:val="center"/>
          </w:tcPr>
          <w:p w:rsidR="00F94667" w:rsidRDefault="00F94667">
            <w:pPr>
              <w:pStyle w:val="ConsPlusNormal"/>
            </w:pPr>
            <w:r>
              <w:t>Объекты здравоохранения</w:t>
            </w:r>
          </w:p>
        </w:tc>
        <w:tc>
          <w:tcPr>
            <w:tcW w:w="1814" w:type="dxa"/>
            <w:vAlign w:val="center"/>
          </w:tcPr>
          <w:p w:rsidR="00F94667" w:rsidRDefault="00F94667">
            <w:pPr>
              <w:pStyle w:val="ConsPlusNormal"/>
            </w:pPr>
            <w:r>
              <w:t>Поликлиники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7,53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7,29</w:t>
            </w:r>
          </w:p>
        </w:tc>
      </w:tr>
      <w:tr w:rsidR="00F94667">
        <w:tc>
          <w:tcPr>
            <w:tcW w:w="2381" w:type="dxa"/>
            <w:vMerge/>
          </w:tcPr>
          <w:p w:rsidR="00F94667" w:rsidRDefault="00F94667"/>
        </w:tc>
        <w:tc>
          <w:tcPr>
            <w:tcW w:w="1814" w:type="dxa"/>
            <w:vAlign w:val="center"/>
          </w:tcPr>
          <w:p w:rsidR="00F94667" w:rsidRDefault="00F94667">
            <w:pPr>
              <w:pStyle w:val="ConsPlusNormal"/>
            </w:pPr>
            <w:r>
              <w:t>Больницы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7,59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7,36</w:t>
            </w:r>
          </w:p>
        </w:tc>
      </w:tr>
      <w:tr w:rsidR="00F94667">
        <w:tc>
          <w:tcPr>
            <w:tcW w:w="2381" w:type="dxa"/>
            <w:vMerge/>
          </w:tcPr>
          <w:p w:rsidR="00F94667" w:rsidRDefault="00F94667"/>
        </w:tc>
        <w:tc>
          <w:tcPr>
            <w:tcW w:w="1814" w:type="dxa"/>
            <w:vAlign w:val="center"/>
          </w:tcPr>
          <w:p w:rsidR="00F94667" w:rsidRDefault="00F94667">
            <w:pPr>
              <w:pStyle w:val="ConsPlusNormal"/>
            </w:pPr>
            <w:r>
              <w:t>Прочие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7,56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lastRenderedPageBreak/>
              <w:t>7,36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lastRenderedPageBreak/>
              <w:t>Объекты спортивного назначения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6,62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6,38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Объекты культуры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7,41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7,11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Котельные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6,94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6,57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Очистные сооружения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6,88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6,53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Внешние инженерные сети теплоснабжения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6,26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6,13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Внешние инженерные сети водопровода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5,47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5,35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Внешние инженерные сети канализации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9,19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8,54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Внешние инженерные сети газоснабжения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7,52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7,19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Подземная прокладка кабеля с медными жилами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5,19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5,07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Подземная прокладка кабеля с алюминиевыми жилами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6,07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5,79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Воздушная прокладка провода с медными жилами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4,39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4,47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Воздушная прокладка провода с алюминиевыми жилами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4,51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4,56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Сети наружного освещения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8,70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8,13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>Прочие объекты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6,79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lastRenderedPageBreak/>
              <w:t>8,01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lastRenderedPageBreak/>
              <w:t>Пусконаладочные работы</w:t>
            </w:r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16,37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15,38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 xml:space="preserve">Электрификация железных дорог </w:t>
            </w:r>
            <w:hyperlink w:anchor="P444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5,49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 xml:space="preserve">Железные дороги </w:t>
            </w:r>
            <w:hyperlink w:anchor="P444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7,20</w:t>
            </w:r>
          </w:p>
        </w:tc>
      </w:tr>
      <w:tr w:rsidR="00F94667">
        <w:tc>
          <w:tcPr>
            <w:tcW w:w="4195" w:type="dxa"/>
            <w:gridSpan w:val="2"/>
            <w:vAlign w:val="center"/>
          </w:tcPr>
          <w:p w:rsidR="00F94667" w:rsidRDefault="00F94667">
            <w:pPr>
              <w:pStyle w:val="ConsPlusNormal"/>
            </w:pPr>
            <w:r>
              <w:t xml:space="preserve">Аэродромы гражданского назначения </w:t>
            </w:r>
            <w:hyperlink w:anchor="P445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87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-</w:t>
            </w:r>
          </w:p>
          <w:p w:rsidR="00F94667" w:rsidRDefault="00F94667">
            <w:pPr>
              <w:pStyle w:val="ConsPlusNormal"/>
              <w:jc w:val="center"/>
            </w:pPr>
            <w:r>
              <w:t>------</w:t>
            </w:r>
          </w:p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</w:tbl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ind w:firstLine="540"/>
        <w:jc w:val="both"/>
      </w:pPr>
      <w:r>
        <w:t>Примечания:</w:t>
      </w:r>
    </w:p>
    <w:p w:rsidR="00F94667" w:rsidRDefault="00F94667">
      <w:pPr>
        <w:pStyle w:val="ConsPlusNormal"/>
        <w:spacing w:before="220"/>
        <w:ind w:firstLine="540"/>
        <w:jc w:val="both"/>
      </w:pPr>
      <w:bookmarkStart w:id="2" w:name="P442"/>
      <w:bookmarkEnd w:id="2"/>
      <w:r>
        <w:t>1. Индексы на СМР и пусконаладочные работы применяются к базисной стоимости работ, учитывающей прямые затраты, накладные расходы и сметную прибыль.</w:t>
      </w:r>
    </w:p>
    <w:p w:rsidR="00F94667" w:rsidRDefault="00F94667">
      <w:pPr>
        <w:pStyle w:val="ConsPlusNormal"/>
        <w:spacing w:before="220"/>
        <w:ind w:firstLine="540"/>
        <w:jc w:val="both"/>
      </w:pPr>
      <w:bookmarkStart w:id="3" w:name="P443"/>
      <w:bookmarkEnd w:id="3"/>
      <w:r>
        <w:t>2. Индексы применимы только к указанной ценовой зоне.</w:t>
      </w:r>
    </w:p>
    <w:p w:rsidR="00F94667" w:rsidRDefault="00F94667">
      <w:pPr>
        <w:pStyle w:val="ConsPlusNormal"/>
        <w:spacing w:before="220"/>
        <w:ind w:firstLine="540"/>
        <w:jc w:val="both"/>
      </w:pPr>
      <w:bookmarkStart w:id="4" w:name="P444"/>
      <w:bookmarkEnd w:id="4"/>
      <w:r>
        <w:t>3. Индексы "Электрификация железных дорог", "Железные дороги" указаны только к сметно-нормативной базе ФЕР-2001.</w:t>
      </w:r>
    </w:p>
    <w:p w:rsidR="00F94667" w:rsidRDefault="00F94667">
      <w:pPr>
        <w:pStyle w:val="ConsPlusNormal"/>
        <w:spacing w:before="220"/>
        <w:ind w:firstLine="540"/>
        <w:jc w:val="both"/>
      </w:pPr>
      <w:bookmarkStart w:id="5" w:name="P445"/>
      <w:bookmarkEnd w:id="5"/>
      <w:r>
        <w:t>4. Индексы по строке "Аэродромы гражданского назначения" применяются для определения сметной стоимости строительства аэродромов гражданского назначения при наличии в их составе взлетно-посадочных полос с искусственным покрытием.</w:t>
      </w: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right"/>
        <w:outlineLvl w:val="0"/>
      </w:pPr>
      <w:r>
        <w:t>Приложение N 2</w:t>
      </w:r>
    </w:p>
    <w:p w:rsidR="00F94667" w:rsidRDefault="00F94667">
      <w:pPr>
        <w:pStyle w:val="ConsPlusNormal"/>
        <w:jc w:val="right"/>
      </w:pPr>
      <w:r>
        <w:t>к письму Минстроя России</w:t>
      </w:r>
    </w:p>
    <w:p w:rsidR="00F94667" w:rsidRDefault="00F94667">
      <w:pPr>
        <w:pStyle w:val="ConsPlusNormal"/>
        <w:jc w:val="right"/>
      </w:pPr>
      <w:r>
        <w:t>от ______________ N ____</w:t>
      </w: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Title"/>
        <w:jc w:val="center"/>
      </w:pPr>
      <w:r>
        <w:t>ИНДЕКСЫ</w:t>
      </w:r>
    </w:p>
    <w:p w:rsidR="00F94667" w:rsidRDefault="00F94667">
      <w:pPr>
        <w:pStyle w:val="ConsPlusTitle"/>
        <w:jc w:val="center"/>
      </w:pPr>
      <w:r>
        <w:t>ИЗМЕНЕНИЯ СМЕТНОЙ СТОИМОСТИ СТРОИТЕЛЬНО-МОНТАЖНЫХ РАБОТ,</w:t>
      </w:r>
    </w:p>
    <w:p w:rsidR="00F94667" w:rsidRDefault="00F94667">
      <w:pPr>
        <w:pStyle w:val="ConsPlusTitle"/>
        <w:jc w:val="center"/>
      </w:pPr>
      <w:proofErr w:type="gramStart"/>
      <w:r>
        <w:t>ОПРЕДЕЛЯЕМЫХ</w:t>
      </w:r>
      <w:proofErr w:type="gramEnd"/>
      <w:r>
        <w:t xml:space="preserve"> С ПРИМЕНЕНИЕМ ОТРАСЛЕВОЙ СМЕТНО-НОРМАТИВНОЙ</w:t>
      </w:r>
    </w:p>
    <w:p w:rsidR="00F94667" w:rsidRDefault="00F94667">
      <w:pPr>
        <w:pStyle w:val="ConsPlusTitle"/>
        <w:jc w:val="center"/>
      </w:pPr>
      <w:r>
        <w:t xml:space="preserve">БАЗЫ НА IV КВАРТАЛ 2020 ГОДА </w:t>
      </w:r>
      <w:hyperlink w:anchor="P491" w:history="1">
        <w:r>
          <w:rPr>
            <w:color w:val="0000FF"/>
          </w:rPr>
          <w:t>&lt;1&gt;</w:t>
        </w:r>
      </w:hyperlink>
      <w:r>
        <w:t xml:space="preserve">, </w:t>
      </w:r>
      <w:hyperlink w:anchor="P505" w:history="1">
        <w:r>
          <w:rPr>
            <w:color w:val="0000FF"/>
          </w:rPr>
          <w:t>&lt;6&gt;</w:t>
        </w:r>
      </w:hyperlink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right"/>
      </w:pPr>
      <w:r>
        <w:t>(без НДС)</w:t>
      </w:r>
    </w:p>
    <w:p w:rsidR="00F94667" w:rsidRDefault="00F94667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08"/>
        <w:gridCol w:w="946"/>
        <w:gridCol w:w="1247"/>
        <w:gridCol w:w="850"/>
        <w:gridCol w:w="1077"/>
        <w:gridCol w:w="850"/>
        <w:gridCol w:w="850"/>
      </w:tblGrid>
      <w:tr w:rsidR="00F94667">
        <w:tc>
          <w:tcPr>
            <w:tcW w:w="567" w:type="dxa"/>
            <w:vMerge w:val="restart"/>
          </w:tcPr>
          <w:p w:rsidR="00F94667" w:rsidRDefault="00F9466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08" w:type="dxa"/>
            <w:vMerge w:val="restart"/>
          </w:tcPr>
          <w:p w:rsidR="00F94667" w:rsidRDefault="00F94667">
            <w:pPr>
              <w:pStyle w:val="ConsPlusNormal"/>
              <w:jc w:val="center"/>
            </w:pPr>
            <w:r>
              <w:t>Наименование региона</w:t>
            </w:r>
          </w:p>
        </w:tc>
        <w:tc>
          <w:tcPr>
            <w:tcW w:w="5820" w:type="dxa"/>
            <w:gridSpan w:val="6"/>
          </w:tcPr>
          <w:p w:rsidR="00F94667" w:rsidRDefault="00F94667">
            <w:pPr>
              <w:pStyle w:val="ConsPlusNormal"/>
              <w:jc w:val="center"/>
            </w:pPr>
            <w:r>
              <w:t>Индексы к ОСНБЖ-2001</w:t>
            </w:r>
          </w:p>
        </w:tc>
      </w:tr>
      <w:tr w:rsidR="00F94667">
        <w:tc>
          <w:tcPr>
            <w:tcW w:w="567" w:type="dxa"/>
            <w:vMerge/>
          </w:tcPr>
          <w:p w:rsidR="00F94667" w:rsidRDefault="00F94667"/>
        </w:tc>
        <w:tc>
          <w:tcPr>
            <w:tcW w:w="2608" w:type="dxa"/>
            <w:vMerge/>
          </w:tcPr>
          <w:p w:rsidR="00F94667" w:rsidRDefault="00F94667"/>
        </w:tc>
        <w:tc>
          <w:tcPr>
            <w:tcW w:w="946" w:type="dxa"/>
          </w:tcPr>
          <w:p w:rsidR="00F94667" w:rsidRDefault="00F94667">
            <w:pPr>
              <w:pStyle w:val="ConsPlusNormal"/>
              <w:jc w:val="center"/>
            </w:pPr>
            <w:r>
              <w:t xml:space="preserve">Железные дороги </w:t>
            </w:r>
            <w:hyperlink w:anchor="P492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247" w:type="dxa"/>
          </w:tcPr>
          <w:p w:rsidR="00F94667" w:rsidRDefault="00F94667">
            <w:pPr>
              <w:pStyle w:val="ConsPlusNormal"/>
              <w:jc w:val="center"/>
            </w:pPr>
            <w:r>
              <w:t xml:space="preserve">Линейные объекты электрификации и энергетического хозяйства </w:t>
            </w:r>
            <w:hyperlink w:anchor="P49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F94667" w:rsidRDefault="00F94667">
            <w:pPr>
              <w:pStyle w:val="ConsPlusNormal"/>
              <w:jc w:val="center"/>
            </w:pPr>
            <w:r>
              <w:t xml:space="preserve">Мост железнодорожный </w:t>
            </w:r>
            <w:hyperlink w:anchor="P500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F94667" w:rsidRDefault="00F94667">
            <w:pPr>
              <w:pStyle w:val="ConsPlusNormal"/>
              <w:jc w:val="center"/>
            </w:pPr>
            <w:r>
              <w:t>Сигнализация, централизация, блокировка и связь</w:t>
            </w:r>
          </w:p>
        </w:tc>
        <w:tc>
          <w:tcPr>
            <w:tcW w:w="850" w:type="dxa"/>
          </w:tcPr>
          <w:p w:rsidR="00F94667" w:rsidRDefault="00F94667">
            <w:pPr>
              <w:pStyle w:val="ConsPlusNormal"/>
              <w:jc w:val="center"/>
            </w:pPr>
            <w:r>
              <w:t xml:space="preserve">Производственные здания </w:t>
            </w:r>
            <w:hyperlink w:anchor="P504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850" w:type="dxa"/>
          </w:tcPr>
          <w:p w:rsidR="00F94667" w:rsidRDefault="00F94667">
            <w:pPr>
              <w:pStyle w:val="ConsPlusNormal"/>
              <w:jc w:val="center"/>
            </w:pPr>
            <w:r>
              <w:t xml:space="preserve">Пусконаладочные работы </w:t>
            </w:r>
            <w:hyperlink w:anchor="P506" w:history="1">
              <w:r>
                <w:rPr>
                  <w:color w:val="0000FF"/>
                </w:rPr>
                <w:t>&lt;7&gt;</w:t>
              </w:r>
            </w:hyperlink>
          </w:p>
        </w:tc>
      </w:tr>
      <w:tr w:rsidR="00F94667">
        <w:tc>
          <w:tcPr>
            <w:tcW w:w="567" w:type="dxa"/>
          </w:tcPr>
          <w:p w:rsidR="00F94667" w:rsidRDefault="00F9466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608" w:type="dxa"/>
          </w:tcPr>
          <w:p w:rsidR="00F94667" w:rsidRDefault="00F946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6" w:type="dxa"/>
          </w:tcPr>
          <w:p w:rsidR="00F94667" w:rsidRDefault="00F946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F94667" w:rsidRDefault="00F946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94667" w:rsidRDefault="00F9466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F94667" w:rsidRDefault="00F9466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F94667" w:rsidRDefault="00F9466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F94667" w:rsidRDefault="00F94667">
            <w:pPr>
              <w:pStyle w:val="ConsPlusNormal"/>
              <w:jc w:val="center"/>
            </w:pPr>
            <w:r>
              <w:t>8</w:t>
            </w:r>
          </w:p>
        </w:tc>
      </w:tr>
      <w:tr w:rsidR="00F94667">
        <w:tc>
          <w:tcPr>
            <w:tcW w:w="567" w:type="dxa"/>
          </w:tcPr>
          <w:p w:rsidR="00F94667" w:rsidRDefault="00F94667">
            <w:pPr>
              <w:pStyle w:val="ConsPlusNormal"/>
              <w:jc w:val="center"/>
              <w:outlineLvl w:val="1"/>
            </w:pPr>
            <w:r>
              <w:t>I</w:t>
            </w:r>
          </w:p>
        </w:tc>
        <w:tc>
          <w:tcPr>
            <w:tcW w:w="8428" w:type="dxa"/>
            <w:gridSpan w:val="7"/>
          </w:tcPr>
          <w:p w:rsidR="00F94667" w:rsidRDefault="00F94667">
            <w:pPr>
              <w:pStyle w:val="ConsPlusNormal"/>
              <w:jc w:val="center"/>
            </w:pPr>
            <w:r>
              <w:t>Сибирский федеральный округ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vAlign w:val="center"/>
          </w:tcPr>
          <w:p w:rsidR="00F94667" w:rsidRDefault="00F94667">
            <w:pPr>
              <w:pStyle w:val="ConsPlusNormal"/>
            </w:pPr>
            <w:r>
              <w:t xml:space="preserve">Республика Алтай </w:t>
            </w:r>
            <w:hyperlink w:anchor="P507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946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9,78</w:t>
            </w:r>
          </w:p>
        </w:tc>
        <w:tc>
          <w:tcPr>
            <w:tcW w:w="124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6,08</w:t>
            </w:r>
          </w:p>
        </w:tc>
        <w:tc>
          <w:tcPr>
            <w:tcW w:w="850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7,70</w:t>
            </w:r>
          </w:p>
        </w:tc>
        <w:tc>
          <w:tcPr>
            <w:tcW w:w="107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6,04</w:t>
            </w:r>
          </w:p>
        </w:tc>
        <w:tc>
          <w:tcPr>
            <w:tcW w:w="850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6,63</w:t>
            </w:r>
          </w:p>
        </w:tc>
        <w:tc>
          <w:tcPr>
            <w:tcW w:w="850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18,04</w:t>
            </w:r>
          </w:p>
        </w:tc>
      </w:tr>
    </w:tbl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ind w:firstLine="540"/>
        <w:jc w:val="both"/>
      </w:pPr>
      <w:r>
        <w:t>Примечание:</w:t>
      </w:r>
    </w:p>
    <w:p w:rsidR="00F94667" w:rsidRDefault="00F94667">
      <w:pPr>
        <w:pStyle w:val="ConsPlusNormal"/>
        <w:spacing w:before="220"/>
        <w:ind w:firstLine="540"/>
        <w:jc w:val="both"/>
      </w:pPr>
      <w:bookmarkStart w:id="6" w:name="P491"/>
      <w:bookmarkEnd w:id="6"/>
      <w:r>
        <w:t>1. Одновременное применение нескольких индексов СМР по одной стройке (титулу, проекту) не допускается, за исключением индексов по графам "Железные дороги", "Линейные объекты электрификации и энергетического хозяйства" и "Мост железнодорожный".</w:t>
      </w:r>
    </w:p>
    <w:p w:rsidR="00F94667" w:rsidRDefault="00F94667">
      <w:pPr>
        <w:pStyle w:val="ConsPlusNormal"/>
        <w:spacing w:before="220"/>
        <w:ind w:firstLine="540"/>
        <w:jc w:val="both"/>
      </w:pPr>
      <w:bookmarkStart w:id="7" w:name="P492"/>
      <w:bookmarkEnd w:id="7"/>
      <w:r>
        <w:t>2. При разработке индекса "Железные дороги" не учтены затраты на доставку до места производства работ (могут учитываться дополнительно в сметной документации по наиболее экономически эффективным маршрутам):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- звеньев рельсошпальной решетки от звеносборочной базы, ближайшей к месту производства работ;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- рельсовых плетей от рельсосварочного предприятия, ближайшего к месту производства работ;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- блоков стрелочных переводов от ближайшей к месту производства работ железнодорожной станции, находящейся на территории субъекта Российской Федерации;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- остальных материалов верхнего строения пути, в том числе для поэлементной укладки и разборки, от ближайшей к месту производства работ железнодорожной станции;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- балластных материалов от ближайшей к карьеру, с которого осуществляется поставка, железнодорожной станции, находящейся на территории субъекта Российской Федерации;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 xml:space="preserve">- грунта дренирующего от ближайшей к карьеру, с которого осуществляется поставка, железнодорожной станции, находящейся на территории субъекта Российской Федерации; либо автомобильным транспортом от карьера, расположенного на территории субъекта Российской Федерации, до места производства работ на расстояние, превышающее 30 км (при отсутствии </w:t>
      </w:r>
      <w:proofErr w:type="gramStart"/>
      <w:r>
        <w:t>более экономически</w:t>
      </w:r>
      <w:proofErr w:type="gramEnd"/>
      <w:r>
        <w:t xml:space="preserve"> эффективного железнодорожного маршрута).</w:t>
      </w:r>
    </w:p>
    <w:p w:rsidR="00F94667" w:rsidRDefault="00F94667">
      <w:pPr>
        <w:pStyle w:val="ConsPlusNormal"/>
        <w:spacing w:before="220"/>
        <w:ind w:firstLine="540"/>
        <w:jc w:val="both"/>
      </w:pPr>
      <w:bookmarkStart w:id="8" w:name="P499"/>
      <w:bookmarkEnd w:id="8"/>
      <w:r>
        <w:t>3. Индексы по графе "Линейные объекты электрификации и энергетического хозяйства" применяются к комплексным линейным объектам электрификации и энергетического хозяйства, за исключением производственных зданий.</w:t>
      </w:r>
    </w:p>
    <w:p w:rsidR="00F94667" w:rsidRDefault="00F94667">
      <w:pPr>
        <w:pStyle w:val="ConsPlusNormal"/>
        <w:spacing w:before="220"/>
        <w:ind w:firstLine="540"/>
        <w:jc w:val="both"/>
      </w:pPr>
      <w:bookmarkStart w:id="9" w:name="P500"/>
      <w:bookmarkEnd w:id="9"/>
      <w:r>
        <w:t>4. Для определения индексов изменения сметной стоимости строительно-монтажных работ при строительстве железнодорожных мостов для сейсмичности площадки строительства 6 баллов, 7 баллов, 8 баллов следует применять коэффициенты 1,0; 1,01; 1,02 соответственно. Для определения индексов изменения сметной стоимости строительно-монтажных работ при строительстве железнодорожных мостов для сейсмичности площадки строительства 9 баллов по территориальным зонам с районными коэффициентами: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- до 1,15 следует применять коэффициент 1,1;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- 1,2 и 1,3 следует применять коэффициент 1,09;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- 1,4 и 1,6 следует применять коэффициент 1,08.</w:t>
      </w:r>
    </w:p>
    <w:p w:rsidR="00F94667" w:rsidRDefault="00F94667">
      <w:pPr>
        <w:pStyle w:val="ConsPlusNormal"/>
        <w:spacing w:before="220"/>
        <w:ind w:firstLine="540"/>
        <w:jc w:val="both"/>
      </w:pPr>
      <w:bookmarkStart w:id="10" w:name="P504"/>
      <w:bookmarkEnd w:id="10"/>
      <w:r>
        <w:t xml:space="preserve">5. Производственные здания - разрабатываемые по самостоятельным проектам отдельные здания хозяйств инфраструктуры (посты ЭЦ, пассажирские и служебно-технические здания), </w:t>
      </w:r>
      <w:r>
        <w:lastRenderedPageBreak/>
        <w:t>прочие объекты подсобного и обслуживающего назначения, транспорта, связи, энергетического хозяйства и электрификации (тяговые подстанции, ДПКС и прочие).</w:t>
      </w:r>
    </w:p>
    <w:p w:rsidR="00F94667" w:rsidRDefault="00F94667">
      <w:pPr>
        <w:pStyle w:val="ConsPlusNormal"/>
        <w:spacing w:before="220"/>
        <w:ind w:firstLine="540"/>
        <w:jc w:val="both"/>
      </w:pPr>
      <w:bookmarkStart w:id="11" w:name="P505"/>
      <w:bookmarkEnd w:id="11"/>
      <w:r>
        <w:t>6. Индексы к объектам строительства "Сигнализация, централизация, блокировка и связь", "Производственные здания" применяются исключительно в случае, если указанные объекты являются титульными для проекта.</w:t>
      </w:r>
    </w:p>
    <w:p w:rsidR="00F94667" w:rsidRDefault="00F94667">
      <w:pPr>
        <w:pStyle w:val="ConsPlusNormal"/>
        <w:spacing w:before="220"/>
        <w:ind w:firstLine="540"/>
        <w:jc w:val="both"/>
      </w:pPr>
      <w:bookmarkStart w:id="12" w:name="P506"/>
      <w:bookmarkEnd w:id="12"/>
      <w:r>
        <w:t>7. Индекс "Пусконаладочные работы" применяется к величине затрат на оплату труда пусконаладочного персонала, определенных по соответствующим единичным расценкам на пусконаладочные работы.</w:t>
      </w:r>
    </w:p>
    <w:p w:rsidR="00F94667" w:rsidRDefault="00F94667">
      <w:pPr>
        <w:pStyle w:val="ConsPlusNormal"/>
        <w:spacing w:before="220"/>
        <w:ind w:firstLine="540"/>
        <w:jc w:val="both"/>
      </w:pPr>
      <w:bookmarkStart w:id="13" w:name="P507"/>
      <w:bookmarkEnd w:id="13"/>
      <w:r>
        <w:t xml:space="preserve">8. Индексы строительно-монтажных и пусконаладочных работ применяются к базисной стоимости работ, сформированной с применением базисных стоимостей строительных ресурсов по территориальному району </w:t>
      </w:r>
      <w:proofErr w:type="spellStart"/>
      <w:r>
        <w:t>IXe</w:t>
      </w:r>
      <w:proofErr w:type="spellEnd"/>
      <w:r>
        <w:t xml:space="preserve"> Алтайский край ОСНБЖ-2001.</w:t>
      </w: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right"/>
        <w:outlineLvl w:val="0"/>
      </w:pPr>
      <w:r>
        <w:t>Приложение N 3</w:t>
      </w:r>
    </w:p>
    <w:p w:rsidR="00F94667" w:rsidRDefault="00F94667">
      <w:pPr>
        <w:pStyle w:val="ConsPlusNormal"/>
        <w:jc w:val="right"/>
      </w:pPr>
      <w:r>
        <w:t>к письму Минстроя России</w:t>
      </w:r>
    </w:p>
    <w:p w:rsidR="00F94667" w:rsidRDefault="00F94667">
      <w:pPr>
        <w:pStyle w:val="ConsPlusNormal"/>
        <w:jc w:val="right"/>
      </w:pPr>
      <w:r>
        <w:t>от ______________ N ____</w:t>
      </w: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Title"/>
        <w:jc w:val="center"/>
      </w:pPr>
      <w:r>
        <w:t>ИНДЕКСЫ</w:t>
      </w:r>
    </w:p>
    <w:p w:rsidR="00F94667" w:rsidRDefault="00F94667">
      <w:pPr>
        <w:pStyle w:val="ConsPlusTitle"/>
        <w:jc w:val="center"/>
      </w:pPr>
      <w:r>
        <w:t>ИЗМЕНЕНИЯ СМЕТНОЙ СТОИМОСТИ ЛИНЕЙНЫХ ОБЪЕКТОВ КАПИТАЛЬНОГО</w:t>
      </w:r>
    </w:p>
    <w:p w:rsidR="00F94667" w:rsidRDefault="00F94667">
      <w:pPr>
        <w:pStyle w:val="ConsPlusTitle"/>
        <w:jc w:val="center"/>
      </w:pPr>
      <w:r>
        <w:t>СТРОИТЕЛЬСТВА - ВЫСОКОВОЛЬТНЫХ ЛИНИЙ ЭЛЕКТРОПЕРЕДАЧ</w:t>
      </w:r>
    </w:p>
    <w:p w:rsidR="00F94667" w:rsidRDefault="00F94667">
      <w:pPr>
        <w:pStyle w:val="ConsPlusTitle"/>
        <w:jc w:val="center"/>
      </w:pPr>
      <w:r>
        <w:t>К СМЕТНО-НОРМАТИВНОЙ БАЗЕ ФЕР-2001</w:t>
      </w:r>
    </w:p>
    <w:p w:rsidR="00F94667" w:rsidRDefault="00F94667">
      <w:pPr>
        <w:pStyle w:val="ConsPlusTitle"/>
        <w:jc w:val="center"/>
      </w:pPr>
      <w:r>
        <w:t>НА IV КВАРТАЛ 2020 ГОДА</w:t>
      </w: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right"/>
      </w:pPr>
      <w:r>
        <w:t>(без НДС)</w:t>
      </w:r>
    </w:p>
    <w:p w:rsidR="00F94667" w:rsidRDefault="00F946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231"/>
        <w:gridCol w:w="2617"/>
        <w:gridCol w:w="2617"/>
      </w:tblGrid>
      <w:tr w:rsidR="00F94667">
        <w:tc>
          <w:tcPr>
            <w:tcW w:w="567" w:type="dxa"/>
            <w:vMerge w:val="restart"/>
          </w:tcPr>
          <w:p w:rsidR="00F94667" w:rsidRDefault="00F9466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31" w:type="dxa"/>
            <w:vMerge w:val="restart"/>
          </w:tcPr>
          <w:p w:rsidR="00F94667" w:rsidRDefault="00F94667">
            <w:pPr>
              <w:pStyle w:val="ConsPlusNormal"/>
              <w:jc w:val="center"/>
            </w:pPr>
            <w:r>
              <w:t>Субъект Российской Федерации</w:t>
            </w:r>
          </w:p>
        </w:tc>
        <w:tc>
          <w:tcPr>
            <w:tcW w:w="5234" w:type="dxa"/>
            <w:gridSpan w:val="2"/>
          </w:tcPr>
          <w:p w:rsidR="00F94667" w:rsidRDefault="00F94667">
            <w:pPr>
              <w:pStyle w:val="ConsPlusNormal"/>
              <w:jc w:val="center"/>
            </w:pPr>
            <w:r>
              <w:t>Индексы к ФЕР-2001</w:t>
            </w:r>
          </w:p>
        </w:tc>
      </w:tr>
      <w:tr w:rsidR="00F94667">
        <w:tc>
          <w:tcPr>
            <w:tcW w:w="567" w:type="dxa"/>
            <w:vMerge/>
          </w:tcPr>
          <w:p w:rsidR="00F94667" w:rsidRDefault="00F94667"/>
        </w:tc>
        <w:tc>
          <w:tcPr>
            <w:tcW w:w="3231" w:type="dxa"/>
            <w:vMerge/>
          </w:tcPr>
          <w:p w:rsidR="00F94667" w:rsidRDefault="00F94667"/>
        </w:tc>
        <w:tc>
          <w:tcPr>
            <w:tcW w:w="2617" w:type="dxa"/>
          </w:tcPr>
          <w:p w:rsidR="00F94667" w:rsidRDefault="00F94667">
            <w:pPr>
              <w:pStyle w:val="ConsPlusNormal"/>
              <w:jc w:val="center"/>
            </w:pPr>
            <w:r>
              <w:t xml:space="preserve">Высоковольтные линии электропередач 220 </w:t>
            </w:r>
            <w:proofErr w:type="spellStart"/>
            <w:r>
              <w:t>кВ</w:t>
            </w:r>
            <w:proofErr w:type="spellEnd"/>
          </w:p>
        </w:tc>
        <w:tc>
          <w:tcPr>
            <w:tcW w:w="2617" w:type="dxa"/>
          </w:tcPr>
          <w:p w:rsidR="00F94667" w:rsidRDefault="00F94667">
            <w:pPr>
              <w:pStyle w:val="ConsPlusNormal"/>
              <w:jc w:val="center"/>
            </w:pPr>
            <w:r>
              <w:t xml:space="preserve">Высоковольтные линии электропередач 330 </w:t>
            </w:r>
            <w:proofErr w:type="spellStart"/>
            <w:r>
              <w:t>кВ</w:t>
            </w:r>
            <w:proofErr w:type="spellEnd"/>
          </w:p>
        </w:tc>
      </w:tr>
      <w:tr w:rsidR="00F94667">
        <w:tc>
          <w:tcPr>
            <w:tcW w:w="567" w:type="dxa"/>
          </w:tcPr>
          <w:p w:rsidR="00F94667" w:rsidRDefault="00F946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F94667" w:rsidRDefault="00F946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17" w:type="dxa"/>
          </w:tcPr>
          <w:p w:rsidR="00F94667" w:rsidRDefault="00F946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17" w:type="dxa"/>
          </w:tcPr>
          <w:p w:rsidR="00F94667" w:rsidRDefault="00F94667">
            <w:pPr>
              <w:pStyle w:val="ConsPlusNormal"/>
              <w:jc w:val="center"/>
            </w:pPr>
            <w:r>
              <w:t>4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  <w:outlineLvl w:val="1"/>
            </w:pPr>
            <w:r>
              <w:t>I</w:t>
            </w:r>
          </w:p>
        </w:tc>
        <w:tc>
          <w:tcPr>
            <w:tcW w:w="8465" w:type="dxa"/>
            <w:gridSpan w:val="3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Центральный федеральный округ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  <w:vAlign w:val="center"/>
          </w:tcPr>
          <w:p w:rsidR="00F94667" w:rsidRDefault="00F94667">
            <w:pPr>
              <w:pStyle w:val="ConsPlusNormal"/>
            </w:pPr>
            <w:r>
              <w:t>Московская область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7,45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6,92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  <w:outlineLvl w:val="1"/>
            </w:pPr>
            <w:r>
              <w:t>II</w:t>
            </w:r>
          </w:p>
        </w:tc>
        <w:tc>
          <w:tcPr>
            <w:tcW w:w="8465" w:type="dxa"/>
            <w:gridSpan w:val="3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Северо-Западный федеральный округ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1" w:type="dxa"/>
            <w:vAlign w:val="center"/>
          </w:tcPr>
          <w:p w:rsidR="00F94667" w:rsidRDefault="00F94667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7,83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7,20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  <w:outlineLvl w:val="1"/>
            </w:pPr>
            <w:r>
              <w:t>III</w:t>
            </w:r>
          </w:p>
        </w:tc>
        <w:tc>
          <w:tcPr>
            <w:tcW w:w="8465" w:type="dxa"/>
            <w:gridSpan w:val="3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Сибирский федеральный округ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31" w:type="dxa"/>
            <w:vAlign w:val="center"/>
          </w:tcPr>
          <w:p w:rsidR="00F94667" w:rsidRDefault="00F94667">
            <w:pPr>
              <w:pStyle w:val="ConsPlusNormal"/>
            </w:pPr>
            <w:r>
              <w:t>Республика Хакасия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7,66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31" w:type="dxa"/>
            <w:vAlign w:val="center"/>
          </w:tcPr>
          <w:p w:rsidR="00F94667" w:rsidRDefault="00F94667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7,93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31" w:type="dxa"/>
            <w:vAlign w:val="center"/>
          </w:tcPr>
          <w:p w:rsidR="00F94667" w:rsidRDefault="00F94667">
            <w:pPr>
              <w:pStyle w:val="ConsPlusNormal"/>
            </w:pPr>
            <w:r>
              <w:t>Иркутская область (5 зона)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8,46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  <w:outlineLvl w:val="1"/>
            </w:pPr>
            <w:r>
              <w:t>IV</w:t>
            </w:r>
          </w:p>
        </w:tc>
        <w:tc>
          <w:tcPr>
            <w:tcW w:w="8465" w:type="dxa"/>
            <w:gridSpan w:val="3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Дальневосточный федеральный округ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231" w:type="dxa"/>
            <w:vAlign w:val="center"/>
          </w:tcPr>
          <w:p w:rsidR="00F94667" w:rsidRDefault="00F94667">
            <w:pPr>
              <w:pStyle w:val="ConsPlusNormal"/>
            </w:pPr>
            <w:r>
              <w:t>Республика Саха (Якутия) (2 зона)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9,49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31" w:type="dxa"/>
            <w:vAlign w:val="center"/>
          </w:tcPr>
          <w:p w:rsidR="00F94667" w:rsidRDefault="00F94667">
            <w:pPr>
              <w:pStyle w:val="ConsPlusNormal"/>
            </w:pPr>
            <w:r>
              <w:t>Республика Саха (Якутия) (4 зона)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9,95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31" w:type="dxa"/>
            <w:vAlign w:val="center"/>
          </w:tcPr>
          <w:p w:rsidR="00F94667" w:rsidRDefault="00F94667">
            <w:pPr>
              <w:pStyle w:val="ConsPlusNormal"/>
            </w:pPr>
            <w:r>
              <w:t>Хабаровский край (1 зона)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7,99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  <w:tr w:rsidR="00F94667">
        <w:tc>
          <w:tcPr>
            <w:tcW w:w="56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31" w:type="dxa"/>
            <w:vAlign w:val="center"/>
          </w:tcPr>
          <w:p w:rsidR="00F94667" w:rsidRDefault="00F94667">
            <w:pPr>
              <w:pStyle w:val="ConsPlusNormal"/>
            </w:pPr>
            <w:r>
              <w:t>Хабаровский край (2 зона)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8,50</w:t>
            </w:r>
          </w:p>
        </w:tc>
        <w:tc>
          <w:tcPr>
            <w:tcW w:w="2617" w:type="dxa"/>
            <w:vAlign w:val="center"/>
          </w:tcPr>
          <w:p w:rsidR="00F94667" w:rsidRDefault="00F94667">
            <w:pPr>
              <w:pStyle w:val="ConsPlusNormal"/>
              <w:jc w:val="center"/>
            </w:pPr>
            <w:r>
              <w:t>-</w:t>
            </w:r>
          </w:p>
        </w:tc>
      </w:tr>
    </w:tbl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ind w:firstLine="540"/>
        <w:jc w:val="both"/>
      </w:pPr>
      <w:r>
        <w:t>Примечания: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 xml:space="preserve">1. Индексы изменения сметной стоимости строительства разработаны </w:t>
      </w:r>
      <w:proofErr w:type="gramStart"/>
      <w:r>
        <w:t>исходя из условий определения сметной стоимости строительства воздушных линий электропередач, в которых сооружениями для удержания проводов, грозозащитных тросов являются</w:t>
      </w:r>
      <w:proofErr w:type="gramEnd"/>
      <w:r>
        <w:t xml:space="preserve"> решетчатые и (или) многогранные опоры, стоимость которых определена по сметно-нормативной базе с единицей измерения "тонна". Для определения сметной стоимости многогранных опор, включенных в состав сметно-нормативной базы с единицей измерения "штука", к указанной стоимости применяются следующие коэффициенты: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 xml:space="preserve">- для высоковольтных линий электропередач 220 </w:t>
      </w:r>
      <w:proofErr w:type="spellStart"/>
      <w:r>
        <w:t>кВ</w:t>
      </w:r>
      <w:proofErr w:type="spellEnd"/>
      <w:r>
        <w:t xml:space="preserve"> - 0,8;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 xml:space="preserve">- для высоковольтных линий электропередач 330 </w:t>
      </w:r>
      <w:proofErr w:type="spellStart"/>
      <w:r>
        <w:t>кВ</w:t>
      </w:r>
      <w:proofErr w:type="spellEnd"/>
      <w:r>
        <w:t xml:space="preserve"> - 0,4.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2. Для учета усложняющих условий производства работ по устройству фундаментов под опоры (в том числе к стоимости земляных работ, работ по устройству заземления) применяются следующие коэффициенты: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- для затопляемых (обводненных) территорий - 1,05;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 xml:space="preserve">- для мерзлых и </w:t>
      </w:r>
      <w:proofErr w:type="spellStart"/>
      <w:r>
        <w:t>пучинистых</w:t>
      </w:r>
      <w:proofErr w:type="spellEnd"/>
      <w:r>
        <w:t xml:space="preserve"> грунтов - 1,04.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3. Для учета усложняющих условий производства работ по устройству просеки применяются следующие коэффициенты, учитывающие количество деревьев, приходящихся на 1 га просеки: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- от 200 деревьев/</w:t>
      </w:r>
      <w:proofErr w:type="gramStart"/>
      <w:r>
        <w:t>га</w:t>
      </w:r>
      <w:proofErr w:type="gramEnd"/>
      <w:r>
        <w:t xml:space="preserve"> - 1,05;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- от 500 деревьев/</w:t>
      </w:r>
      <w:proofErr w:type="gramStart"/>
      <w:r>
        <w:t>га</w:t>
      </w:r>
      <w:proofErr w:type="gramEnd"/>
      <w:r>
        <w:t xml:space="preserve"> - 1,12;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- от 1000 деревьев/</w:t>
      </w:r>
      <w:proofErr w:type="gramStart"/>
      <w:r>
        <w:t>га</w:t>
      </w:r>
      <w:proofErr w:type="gramEnd"/>
      <w:r>
        <w:t xml:space="preserve"> - 1,23.</w:t>
      </w:r>
    </w:p>
    <w:p w:rsidR="00F94667" w:rsidRDefault="00F94667">
      <w:pPr>
        <w:pStyle w:val="ConsPlusNormal"/>
        <w:spacing w:before="220"/>
        <w:ind w:firstLine="540"/>
        <w:jc w:val="both"/>
      </w:pPr>
      <w:r>
        <w:t>Указанные коэффициенты применяются отдельно по участкам строительства, для которых характерны такие условия. Одновременное применение различных коэффициентов на одном участке строительства не допускается.</w:t>
      </w: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jc w:val="both"/>
      </w:pPr>
    </w:p>
    <w:p w:rsidR="00F94667" w:rsidRDefault="00F9466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34973" w:rsidRDefault="00934973"/>
    <w:sectPr w:rsidR="00934973" w:rsidSect="005F4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667"/>
    <w:rsid w:val="00857D67"/>
    <w:rsid w:val="00934973"/>
    <w:rsid w:val="00F9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46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6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46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46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6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46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55DCF99A28EAEF5787553142D43989F42C7B60FD55E538EF77E60A7923A22617F04AC958A28D8643F4BACAC8f3tA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55DCF99A28EAEF5787553142D43989F42C7462FF53E538EF77E60A7923A22617F04AC958A28D8643F4BACAC8f3tA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455DCF99A28EAEF5787553142D43989F42C756DF855E538EF77E60A7923A22617F04AC958A28D8643F4BACAC8f3tAH" TargetMode="External"/><Relationship Id="rId11" Type="http://schemas.openxmlformats.org/officeDocument/2006/relationships/hyperlink" Target="consultantplus://offline/ref=B455DCF99A28EAEF5787553142D43989F4297067FF5FE538EF77E60A7923A22605F012C559AB938742E1EC9B8E6E88F33FF86B70E5BCFF82fAt1H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B455DCF99A28EAEF5787553142D43989F42D7360FF52E538EF77E60A7923A22617F04AC958A28D8643F4BACAC8f3t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55DCF99A28EAEF5787553142D43989F42C7A6DF957E538EF77E60A7923A22617F04AC958A28D8643F4BACAC8f3t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2058</Words>
  <Characters>11735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Трошина Ксения Эдуардовна</dc:creator>
  <cp:lastModifiedBy>Трошина Ксения Эдуардовна</cp:lastModifiedBy>
  <cp:revision>2</cp:revision>
  <dcterms:created xsi:type="dcterms:W3CDTF">2021-01-19T07:45:00Z</dcterms:created>
  <dcterms:modified xsi:type="dcterms:W3CDTF">2021-02-04T07:14:00Z</dcterms:modified>
</cp:coreProperties>
</file>